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3"/>
        <w:spacing w:before="0" w:after="120"/>
        <w:ind w:left="0" w:hanging="0"/>
        <w:rPr>
          <w:rFonts w:cs="Arial"/>
          <w:b/>
          <w:b/>
          <w:bCs/>
          <w:i/>
          <w:i/>
          <w:iCs/>
          <w:sz w:val="22"/>
          <w:szCs w:val="22"/>
        </w:rPr>
      </w:pPr>
      <w:bookmarkStart w:id="0" w:name="_Toc27047982"/>
      <w:r>
        <w:rPr>
          <w:rFonts w:cs="Arial"/>
          <w:b/>
          <w:bCs/>
          <w:sz w:val="22"/>
          <w:szCs w:val="22"/>
        </w:rPr>
        <w:t>ANEXO I. DECLARACIÓN RES</w:t>
      </w:r>
      <w:bookmarkEnd w:id="0"/>
      <w:r>
        <w:rPr>
          <w:rFonts w:cs="Arial"/>
          <w:b/>
          <w:bCs/>
          <w:sz w:val="22"/>
          <w:szCs w:val="22"/>
        </w:rPr>
        <w:t>PONSABLE SOBRE EL CUMPLIMIENTO DE LOS REQUISITOS ESTABLECIDOS EN EL RDL 5/2021 Y EN EL CÓDIGO DE BUENAS PRÁCTICAS</w:t>
      </w:r>
    </w:p>
    <w:p>
      <w:pPr>
        <w:pStyle w:val="Normal"/>
        <w:spacing w:lineRule="exact" w:line="36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D/Dª………………………………………………………………………………………………….. </w:t>
      </w:r>
    </w:p>
    <w:p>
      <w:pPr>
        <w:pStyle w:val="Normal"/>
        <w:jc w:val="both"/>
        <w:rPr>
          <w:rFonts w:ascii="Arial" w:hAnsi="Arial" w:cs="Arial"/>
          <w:sz w:val="20"/>
          <w:szCs w:val="20"/>
        </w:rPr>
      </w:pPr>
      <w:r>
        <w:rPr>
          <w:rFonts w:cs="Arial" w:ascii="Arial" w:hAnsi="Arial"/>
          <w:sz w:val="20"/>
          <w:szCs w:val="20"/>
        </w:rPr>
        <w:t>Con domicilio en………………………c/………………………………….……..….….……</w:t>
      </w:r>
    </w:p>
    <w:p>
      <w:pPr>
        <w:pStyle w:val="Normal"/>
        <w:jc w:val="both"/>
        <w:rPr>
          <w:rFonts w:ascii="Arial" w:hAnsi="Arial" w:cs="Arial"/>
          <w:sz w:val="20"/>
          <w:szCs w:val="20"/>
        </w:rPr>
      </w:pPr>
      <w:r>
        <w:rPr>
          <w:rFonts w:cs="Arial" w:ascii="Arial" w:hAnsi="Arial"/>
          <w:sz w:val="20"/>
          <w:szCs w:val="20"/>
        </w:rPr>
        <w:t>Y D.N.I. nº. …………………………………………………………………………………………</w:t>
      </w:r>
    </w:p>
    <w:p>
      <w:pPr>
        <w:pStyle w:val="Normal"/>
        <w:jc w:val="both"/>
        <w:rPr>
          <w:rFonts w:ascii="Arial" w:hAnsi="Arial" w:cs="Arial"/>
          <w:sz w:val="20"/>
          <w:szCs w:val="20"/>
        </w:rPr>
      </w:pPr>
      <w:r>
        <w:rPr>
          <w:rFonts w:cs="Arial" w:ascii="Arial" w:hAnsi="Arial"/>
          <w:sz w:val="20"/>
          <w:szCs w:val="20"/>
        </w:rPr>
        <w:t>En representación de…………………………………………………………………..…….</w:t>
      </w:r>
    </w:p>
    <w:p>
      <w:pPr>
        <w:pStyle w:val="Normal"/>
        <w:jc w:val="both"/>
        <w:rPr>
          <w:rFonts w:ascii="Arial" w:hAnsi="Arial" w:cs="Arial"/>
          <w:sz w:val="20"/>
          <w:szCs w:val="20"/>
        </w:rPr>
      </w:pPr>
      <w:r>
        <w:rPr>
          <w:rFonts w:cs="Arial" w:ascii="Arial" w:hAnsi="Arial"/>
          <w:sz w:val="20"/>
          <w:szCs w:val="20"/>
        </w:rPr>
        <w:t>Con domicilio social en………………c/…………………………………………………….</w:t>
      </w:r>
    </w:p>
    <w:p>
      <w:pPr>
        <w:pStyle w:val="Normal"/>
        <w:jc w:val="both"/>
        <w:rPr>
          <w:rFonts w:ascii="Arial" w:hAnsi="Arial" w:cs="Arial"/>
          <w:sz w:val="20"/>
          <w:szCs w:val="20"/>
        </w:rPr>
      </w:pPr>
      <w:r>
        <w:rPr>
          <w:rFonts w:cs="Arial" w:ascii="Arial" w:hAnsi="Arial"/>
          <w:sz w:val="20"/>
          <w:szCs w:val="20"/>
        </w:rPr>
        <w:t>Con N.I.F.  ……………………………………………………………………………….………….</w:t>
      </w:r>
    </w:p>
    <w:p>
      <w:pPr>
        <w:pStyle w:val="Normal"/>
        <w:tabs>
          <w:tab w:val="left" w:pos="2777" w:leader="none"/>
        </w:tabs>
        <w:spacing w:lineRule="exact" w:line="360"/>
        <w:jc w:val="both"/>
        <w:rPr>
          <w:rFonts w:ascii="Arial" w:hAnsi="Arial" w:cs="Arial"/>
          <w:b/>
          <w:b/>
          <w:sz w:val="20"/>
          <w:szCs w:val="20"/>
        </w:rPr>
      </w:pPr>
      <w:r>
        <w:rPr>
          <w:rFonts w:cs="Arial" w:ascii="Arial" w:hAnsi="Arial"/>
          <w:b/>
          <w:sz w:val="20"/>
          <w:szCs w:val="20"/>
        </w:rPr>
      </w:r>
    </w:p>
    <w:p>
      <w:pPr>
        <w:pStyle w:val="Normal"/>
        <w:tabs>
          <w:tab w:val="left" w:pos="2777" w:leader="none"/>
        </w:tabs>
        <w:spacing w:lineRule="exact" w:line="360"/>
        <w:jc w:val="both"/>
        <w:rPr>
          <w:rFonts w:ascii="Arial" w:hAnsi="Arial" w:cs="Arial"/>
          <w:b/>
          <w:b/>
          <w:szCs w:val="20"/>
        </w:rPr>
      </w:pPr>
      <w:r>
        <w:rPr>
          <w:rFonts w:cs="Arial" w:ascii="Arial" w:hAnsi="Arial"/>
          <w:b/>
          <w:szCs w:val="20"/>
        </w:rPr>
        <w:t>DECLARA</w:t>
      </w:r>
      <w:r>
        <w:rPr>
          <w:rFonts w:cs="Arial" w:ascii="Arial" w:hAnsi="Arial"/>
          <w:szCs w:val="20"/>
        </w:rPr>
        <w:t>,</w:t>
      </w:r>
      <w:r>
        <w:rPr>
          <w:rFonts w:cs="Arial" w:ascii="Arial" w:hAnsi="Arial"/>
          <w:sz w:val="22"/>
          <w:szCs w:val="22"/>
        </w:rPr>
        <w:t xml:space="preserve"> bajo su propia responsabilidad que:</w:t>
      </w:r>
    </w:p>
    <w:p>
      <w:pPr>
        <w:pStyle w:val="Normal"/>
        <w:tabs>
          <w:tab w:val="left" w:pos="2777" w:leader="none"/>
        </w:tabs>
        <w:jc w:val="both"/>
        <w:rPr>
          <w:rFonts w:ascii="Arial" w:hAnsi="Arial" w:cs="Arial"/>
          <w:b/>
          <w:b/>
          <w:sz w:val="20"/>
          <w:szCs w:val="20"/>
        </w:rPr>
      </w:pPr>
      <w:r>
        <w:rPr>
          <w:rFonts w:cs="Arial" w:ascii="Arial" w:hAnsi="Arial"/>
          <w:b/>
          <w:sz w:val="20"/>
          <w:szCs w:val="20"/>
        </w:rPr>
      </w:r>
    </w:p>
    <w:p>
      <w:pPr>
        <w:pStyle w:val="ListParagraph"/>
        <w:numPr>
          <w:ilvl w:val="0"/>
          <w:numId w:val="1"/>
        </w:numPr>
        <w:tabs>
          <w:tab w:val="left" w:pos="426" w:leader="none"/>
        </w:tabs>
        <w:spacing w:before="0" w:after="0"/>
        <w:ind w:left="426" w:hanging="426"/>
        <w:contextualSpacing/>
        <w:jc w:val="both"/>
        <w:rPr>
          <w:rFonts w:ascii="Arial" w:hAnsi="Arial" w:cs="Arial"/>
          <w:b/>
          <w:b/>
          <w:sz w:val="20"/>
          <w:szCs w:val="20"/>
        </w:rPr>
      </w:pPr>
      <w:r>
        <w:rPr>
          <w:rFonts w:cs="Arial" w:ascii="Arial" w:hAnsi="Arial"/>
          <w:sz w:val="20"/>
          <w:szCs w:val="20"/>
        </w:rPr>
        <w:t>No está sujeta a un procedimiento concursal.</w:t>
      </w:r>
    </w:p>
    <w:p>
      <w:pPr>
        <w:pStyle w:val="ListParagraph"/>
        <w:spacing w:before="0" w:after="0"/>
        <w:ind w:left="426" w:hanging="0"/>
        <w:contextualSpacing/>
        <w:jc w:val="both"/>
        <w:rPr>
          <w:rFonts w:ascii="Arial" w:hAnsi="Arial" w:cs="Arial"/>
          <w:b/>
          <w:b/>
          <w:sz w:val="20"/>
          <w:szCs w:val="20"/>
        </w:rPr>
      </w:pPr>
      <w:r>
        <w:rPr>
          <w:rFonts w:cs="Arial" w:ascii="Arial" w:hAnsi="Arial"/>
          <w:b/>
          <w:sz w:val="20"/>
          <w:szCs w:val="20"/>
        </w:rPr>
      </w:r>
    </w:p>
    <w:p>
      <w:pPr>
        <w:pStyle w:val="Normal"/>
        <w:numPr>
          <w:ilvl w:val="0"/>
          <w:numId w:val="1"/>
        </w:numPr>
        <w:tabs>
          <w:tab w:val="clear" w:pos="708"/>
        </w:tabs>
        <w:ind w:left="426" w:hanging="426"/>
        <w:jc w:val="both"/>
        <w:rPr>
          <w:rFonts w:ascii="Arial" w:hAnsi="Arial" w:cs="Arial"/>
          <w:sz w:val="20"/>
          <w:szCs w:val="20"/>
        </w:rPr>
      </w:pPr>
      <w:r>
        <w:rPr>
          <w:rFonts w:cs="Arial" w:ascii="Arial" w:hAnsi="Arial"/>
          <w:sz w:val="20"/>
          <w:szCs w:val="20"/>
        </w:rPr>
        <w:t>No ha solicitado la declaración de concurso voluntario, ni ha sido declarada insolvente en cualquier procedimiento, ni ha sido declarada en concurso, salvo que en éste haya adquirido la eficacia un convenio, ni está sujeta a intervención judicial o ha sido inhabilitada conforme a la Ley 22/2003, de 9 de julio, Concursal o al Real Decreto Legislativo 1/2020, de 5 de mayo, por el que se aprueba el texto refundido de la Ley Concursal, sin que haya concluido el periodo de inhabilitación, fijado en la sentencia de calificación del concurso.</w:t>
      </w:r>
    </w:p>
    <w:p>
      <w:pPr>
        <w:pStyle w:val="Normal"/>
        <w:ind w:left="720" w:hanging="0"/>
        <w:jc w:val="both"/>
        <w:rPr>
          <w:rFonts w:ascii="Arial" w:hAnsi="Arial" w:cs="Arial"/>
          <w:sz w:val="20"/>
          <w:szCs w:val="20"/>
        </w:rPr>
      </w:pPr>
      <w:r>
        <w:rPr>
          <w:rFonts w:cs="Arial" w:ascii="Arial" w:hAnsi="Arial"/>
          <w:sz w:val="20"/>
          <w:szCs w:val="20"/>
        </w:rPr>
      </w:r>
    </w:p>
    <w:p>
      <w:pPr>
        <w:pStyle w:val="Normal"/>
        <w:numPr>
          <w:ilvl w:val="0"/>
          <w:numId w:val="1"/>
        </w:numPr>
        <w:tabs>
          <w:tab w:val="left" w:pos="426" w:leader="none"/>
        </w:tabs>
        <w:ind w:left="426" w:hanging="426"/>
        <w:jc w:val="both"/>
        <w:rPr>
          <w:rFonts w:ascii="Arial" w:hAnsi="Arial" w:cs="Arial"/>
          <w:sz w:val="20"/>
          <w:szCs w:val="20"/>
        </w:rPr>
      </w:pPr>
      <w:r>
        <w:rPr>
          <w:rFonts w:cs="Arial" w:ascii="Arial" w:hAnsi="Arial"/>
          <w:sz w:val="20"/>
          <w:szCs w:val="20"/>
        </w:rPr>
        <w:t xml:space="preserve">No tiene la residencia fiscal en un país o territorio calificado reglamentariamente como paraíso fiscal. </w:t>
      </w:r>
    </w:p>
    <w:p>
      <w:pPr>
        <w:pStyle w:val="ListParagraph"/>
        <w:rPr>
          <w:rFonts w:ascii="Arial" w:hAnsi="Arial" w:cs="Arial"/>
          <w:sz w:val="20"/>
          <w:szCs w:val="20"/>
        </w:rPr>
      </w:pPr>
      <w:r>
        <w:rPr>
          <w:rFonts w:cs="Arial" w:ascii="Arial" w:hAnsi="Arial"/>
          <w:sz w:val="20"/>
          <w:szCs w:val="20"/>
        </w:rPr>
      </w:r>
    </w:p>
    <w:p>
      <w:pPr>
        <w:pStyle w:val="Normal"/>
        <w:numPr>
          <w:ilvl w:val="0"/>
          <w:numId w:val="1"/>
        </w:numPr>
        <w:tabs>
          <w:tab w:val="left" w:pos="426" w:leader="none"/>
        </w:tabs>
        <w:ind w:left="720" w:hanging="720"/>
        <w:jc w:val="both"/>
        <w:rPr>
          <w:rFonts w:ascii="Arial" w:hAnsi="Arial" w:cs="Arial"/>
          <w:sz w:val="20"/>
          <w:szCs w:val="20"/>
        </w:rPr>
      </w:pPr>
      <w:r>
        <w:rPr>
          <w:rFonts w:cs="Arial" w:ascii="Arial" w:hAnsi="Arial"/>
          <w:sz w:val="20"/>
          <w:szCs w:val="20"/>
        </w:rPr>
        <w:t xml:space="preserve">No ha recibido ayudas de salvamento ni de restructuración.  </w:t>
      </w:r>
    </w:p>
    <w:p>
      <w:pPr>
        <w:pStyle w:val="Normal"/>
        <w:rPr>
          <w:rFonts w:ascii="Arial" w:hAnsi="Arial" w:cs="Arial"/>
          <w:sz w:val="20"/>
          <w:szCs w:val="20"/>
        </w:rPr>
      </w:pPr>
      <w:r>
        <w:rPr>
          <w:rFonts w:cs="Arial" w:ascii="Arial" w:hAnsi="Arial"/>
          <w:sz w:val="20"/>
          <w:szCs w:val="20"/>
        </w:rPr>
      </w:r>
    </w:p>
    <w:p>
      <w:pPr>
        <w:pStyle w:val="Normal"/>
        <w:numPr>
          <w:ilvl w:val="0"/>
          <w:numId w:val="1"/>
        </w:numPr>
        <w:tabs>
          <w:tab w:val="left" w:pos="426" w:leader="none"/>
        </w:tabs>
        <w:ind w:left="426" w:hanging="426"/>
        <w:jc w:val="both"/>
        <w:rPr>
          <w:rFonts w:ascii="Arial" w:hAnsi="Arial" w:cs="Arial"/>
          <w:sz w:val="20"/>
          <w:szCs w:val="20"/>
        </w:rPr>
      </w:pPr>
      <w:r>
        <w:rPr>
          <w:rFonts w:cs="Arial" w:ascii="Arial" w:hAnsi="Arial"/>
          <w:sz w:val="20"/>
          <w:szCs w:val="20"/>
        </w:rPr>
        <w:t>No ha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pPr>
        <w:pStyle w:val="ListParagraph"/>
        <w:rPr>
          <w:rFonts w:ascii="Arial" w:hAnsi="Arial" w:cs="Arial"/>
          <w:sz w:val="20"/>
          <w:szCs w:val="20"/>
        </w:rPr>
      </w:pPr>
      <w:r>
        <w:rPr>
          <w:rFonts w:cs="Arial" w:ascii="Arial" w:hAnsi="Arial"/>
          <w:sz w:val="20"/>
          <w:szCs w:val="20"/>
        </w:rPr>
      </w:r>
    </w:p>
    <w:p>
      <w:pPr>
        <w:pStyle w:val="Normal"/>
        <w:numPr>
          <w:ilvl w:val="0"/>
          <w:numId w:val="1"/>
        </w:numPr>
        <w:tabs>
          <w:tab w:val="left" w:pos="426" w:leader="none"/>
        </w:tabs>
        <w:ind w:left="426" w:hanging="426"/>
        <w:jc w:val="both"/>
        <w:rPr>
          <w:rFonts w:ascii="Arial" w:hAnsi="Arial" w:cs="Arial"/>
          <w:sz w:val="20"/>
          <w:szCs w:val="20"/>
        </w:rPr>
      </w:pPr>
      <w:r>
        <w:rPr>
          <w:rFonts w:cs="Arial" w:ascii="Arial" w:hAnsi="Arial"/>
          <w:sz w:val="20"/>
          <w:szCs w:val="20"/>
        </w:rPr>
        <w:t>No ha dado lugar, por causa de la que hubiese sido declarada culpable, a la resolución firme de cualquier contrato celebrado con la Administración.</w:t>
      </w:r>
    </w:p>
    <w:p>
      <w:pPr>
        <w:pStyle w:val="Normal"/>
        <w:rPr>
          <w:rFonts w:ascii="Arial" w:hAnsi="Arial" w:cs="Arial"/>
          <w:sz w:val="20"/>
          <w:szCs w:val="20"/>
        </w:rPr>
      </w:pPr>
      <w:r>
        <w:rPr>
          <w:rFonts w:cs="Arial" w:ascii="Arial" w:hAnsi="Arial"/>
          <w:sz w:val="20"/>
          <w:szCs w:val="20"/>
        </w:rPr>
      </w:r>
    </w:p>
    <w:p>
      <w:pPr>
        <w:pStyle w:val="Normal"/>
        <w:numPr>
          <w:ilvl w:val="0"/>
          <w:numId w:val="1"/>
        </w:numPr>
        <w:tabs>
          <w:tab w:val="left" w:pos="426" w:leader="none"/>
        </w:tabs>
        <w:ind w:left="426" w:hanging="426"/>
        <w:jc w:val="both"/>
        <w:rPr>
          <w:rFonts w:ascii="Arial" w:hAnsi="Arial" w:cs="Arial"/>
          <w:sz w:val="20"/>
          <w:szCs w:val="20"/>
        </w:rPr>
      </w:pPr>
      <w:r>
        <w:rPr>
          <w:rFonts w:cs="Arial" w:ascii="Arial" w:hAnsi="Arial"/>
          <w:sz w:val="20"/>
          <w:szCs w:val="20"/>
        </w:rPr>
        <w:t xml:space="preserve">Cumple los restantes requisitos de elegibilidad para acogerse a las medidas de flexibilización de deuda de los que va a beneficiarse al amparo del RDL 5/2021 y el Código de Buenas Prácticas y ha aportado los certificados y la información fiscal que así lo justifican. </w:t>
      </w:r>
    </w:p>
    <w:p>
      <w:pPr>
        <w:pStyle w:val="Normal"/>
        <w:ind w:left="426" w:hanging="0"/>
        <w:jc w:val="both"/>
        <w:rPr>
          <w:rFonts w:ascii="Arial" w:hAnsi="Arial" w:cs="Arial"/>
          <w:sz w:val="20"/>
          <w:szCs w:val="20"/>
        </w:rPr>
      </w:pPr>
      <w:r>
        <w:rPr>
          <w:rFonts w:cs="Arial" w:ascii="Arial" w:hAnsi="Arial"/>
          <w:sz w:val="20"/>
          <w:szCs w:val="20"/>
        </w:rPr>
      </w:r>
    </w:p>
    <w:p>
      <w:pPr>
        <w:pStyle w:val="Normal"/>
        <w:numPr>
          <w:ilvl w:val="0"/>
          <w:numId w:val="1"/>
        </w:numPr>
        <w:tabs>
          <w:tab w:val="left" w:pos="426" w:leader="none"/>
        </w:tabs>
        <w:ind w:left="720" w:hanging="720"/>
        <w:jc w:val="both"/>
        <w:rPr>
          <w:rFonts w:ascii="Arial" w:hAnsi="Arial" w:cs="Arial"/>
          <w:sz w:val="20"/>
          <w:szCs w:val="20"/>
        </w:rPr>
      </w:pPr>
      <w:r>
        <w:rPr>
          <w:rFonts w:cs="Arial" w:ascii="Arial" w:hAnsi="Arial"/>
          <w:sz w:val="20"/>
          <w:szCs w:val="20"/>
        </w:rPr>
        <w:t>Adicionalmente, asume los siguientes compromisos:</w:t>
      </w:r>
    </w:p>
    <w:p>
      <w:pPr>
        <w:pStyle w:val="ListParagraph"/>
        <w:rPr>
          <w:rFonts w:ascii="Arial" w:hAnsi="Arial" w:cs="Arial"/>
          <w:sz w:val="20"/>
          <w:szCs w:val="20"/>
        </w:rPr>
      </w:pPr>
      <w:r>
        <w:rPr>
          <w:rFonts w:cs="Arial" w:ascii="Arial" w:hAnsi="Arial"/>
          <w:sz w:val="20"/>
          <w:szCs w:val="20"/>
        </w:rPr>
      </w:r>
    </w:p>
    <w:p>
      <w:pPr>
        <w:pStyle w:val="ListParagraph"/>
        <w:numPr>
          <w:ilvl w:val="0"/>
          <w:numId w:val="2"/>
        </w:numPr>
        <w:rPr>
          <w:rFonts w:ascii="Arial" w:hAnsi="Arial" w:cs="Arial"/>
          <w:sz w:val="20"/>
          <w:szCs w:val="20"/>
        </w:rPr>
      </w:pPr>
      <w:r>
        <w:rPr>
          <w:rFonts w:cs="Arial" w:ascii="Arial" w:hAnsi="Arial"/>
          <w:sz w:val="20"/>
          <w:szCs w:val="20"/>
        </w:rPr>
        <w:t xml:space="preserve">Mantener la actividad para la que se han concedido estas ayudas hasta el 30 de junio de 2022. </w:t>
      </w:r>
    </w:p>
    <w:p>
      <w:pPr>
        <w:pStyle w:val="ListParagraph"/>
        <w:numPr>
          <w:ilvl w:val="0"/>
          <w:numId w:val="2"/>
        </w:numPr>
        <w:rPr>
          <w:rFonts w:ascii="Arial" w:hAnsi="Arial" w:cs="Arial"/>
          <w:sz w:val="20"/>
          <w:szCs w:val="20"/>
        </w:rPr>
      </w:pPr>
      <w:r>
        <w:rPr>
          <w:rFonts w:cs="Arial" w:ascii="Arial" w:hAnsi="Arial"/>
          <w:sz w:val="20"/>
          <w:szCs w:val="20"/>
        </w:rPr>
        <w:t xml:space="preserve">No repartir dividendos durante 2021 y 2022. </w:t>
      </w:r>
    </w:p>
    <w:p>
      <w:pPr>
        <w:pStyle w:val="ListParagraph"/>
        <w:numPr>
          <w:ilvl w:val="0"/>
          <w:numId w:val="2"/>
        </w:numPr>
        <w:rPr>
          <w:rFonts w:ascii="Arial" w:hAnsi="Arial" w:cs="Arial"/>
          <w:sz w:val="20"/>
          <w:szCs w:val="20"/>
        </w:rPr>
      </w:pPr>
      <w:r>
        <w:rPr>
          <w:rFonts w:cs="Arial" w:ascii="Arial" w:hAnsi="Arial"/>
          <w:sz w:val="20"/>
          <w:szCs w:val="20"/>
        </w:rPr>
        <w:t xml:space="preserve">No aprobar incrementos en las retribuciones de alta dirección durante el periodo de dos años desde la aplicación de alguna de las medidas. </w:t>
      </w:r>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rPr>
      </w:r>
    </w:p>
    <w:p>
      <w:pPr>
        <w:pStyle w:val="Normal"/>
        <w:ind w:firstLine="426"/>
        <w:jc w:val="both"/>
        <w:rPr>
          <w:rFonts w:ascii="Arial" w:hAnsi="Arial" w:cs="Arial"/>
          <w:sz w:val="20"/>
          <w:szCs w:val="20"/>
        </w:rPr>
      </w:pPr>
      <w:r>
        <w:rPr>
          <w:rFonts w:cs="Arial" w:ascii="Arial" w:hAnsi="Arial"/>
          <w:sz w:val="20"/>
          <w:szCs w:val="20"/>
        </w:rPr>
      </w:r>
    </w:p>
    <w:p>
      <w:pPr>
        <w:pStyle w:val="Normal"/>
        <w:ind w:firstLine="426"/>
        <w:rPr>
          <w:rFonts w:ascii="Arial" w:hAnsi="Arial" w:cs="Arial"/>
          <w:sz w:val="20"/>
          <w:szCs w:val="20"/>
        </w:rPr>
      </w:pPr>
      <w:r>
        <w:rPr>
          <w:rFonts w:cs="Arial" w:ascii="Arial" w:hAnsi="Arial"/>
          <w:sz w:val="20"/>
          <w:szCs w:val="20"/>
        </w:rPr>
        <w:t>Fdo.:</w:t>
      </w:r>
    </w:p>
    <w:p>
      <w:pPr>
        <w:pStyle w:val="Normal"/>
        <w:ind w:firstLine="426"/>
        <w:jc w:val="right"/>
        <w:rPr>
          <w:rFonts w:ascii="Calibri" w:hAnsi="Calibri" w:asciiTheme="minorHAnsi" w:hAnsiTheme="minorHAnsi"/>
          <w:sz w:val="20"/>
          <w:szCs w:val="20"/>
        </w:rPr>
      </w:pPr>
      <w:r>
        <w:rPr>
          <w:rFonts w:cs="Arial" w:ascii="Arial" w:hAnsi="Arial"/>
          <w:sz w:val="20"/>
          <w:szCs w:val="20"/>
        </w:rPr>
        <w:t>En ………………. a ……… de …………………. de………</w:t>
      </w:r>
    </w:p>
    <w:p>
      <w:pPr>
        <w:pStyle w:val="Normal"/>
        <w:ind w:left="720" w:hanging="0"/>
        <w:jc w:val="both"/>
        <w:rPr/>
      </w:pPr>
      <w:r>
        <w:rPr/>
      </w:r>
    </w:p>
    <w:sectPr>
      <w:type w:val="nextPage"/>
      <w:pgSz w:w="11906" w:h="16838"/>
      <w:pgMar w:left="1701" w:right="1134" w:header="0" w:top="2268" w:footer="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2dd7"/>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Heading1">
    <w:name w:val="Heading 1"/>
    <w:basedOn w:val="Normal"/>
    <w:next w:val="Normal"/>
    <w:link w:val="Ttulo1Car"/>
    <w:qFormat/>
    <w:rsid w:val="00222dd7"/>
    <w:pPr>
      <w:keepNext w:val="true"/>
      <w:jc w:val="both"/>
      <w:outlineLvl w:val="0"/>
    </w:pPr>
    <w:rPr>
      <w:rFonts w:ascii="Arial" w:hAnsi="Arial" w:cs="Arial"/>
      <w:b/>
      <w:bCs/>
      <w:sz w:val="32"/>
      <w:u w:val="single"/>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222dd7"/>
    <w:rPr>
      <w:rFonts w:ascii="Arial" w:hAnsi="Arial" w:eastAsia="Times New Roman" w:cs="Arial"/>
      <w:b/>
      <w:bCs/>
      <w:sz w:val="32"/>
      <w:szCs w:val="24"/>
      <w:u w:val="single"/>
      <w:lang w:eastAsia="es-ES"/>
    </w:rPr>
  </w:style>
  <w:style w:type="character" w:styleId="Sangra3detindependienteCar" w:customStyle="1">
    <w:name w:val="Sangría 3 de t. independiente Car"/>
    <w:basedOn w:val="DefaultParagraphFont"/>
    <w:link w:val="Sangra3detindependiente"/>
    <w:qFormat/>
    <w:rsid w:val="00222dd7"/>
    <w:rPr>
      <w:rFonts w:ascii="Arial" w:hAnsi="Arial" w:eastAsia="Times New Roman" w:cs="Times New Roman"/>
      <w:sz w:val="24"/>
      <w:szCs w:val="24"/>
      <w:lang w:eastAsia="es-ES"/>
    </w:rPr>
  </w:style>
  <w:style w:type="character" w:styleId="PrrafodelistaCar" w:customStyle="1">
    <w:name w:val="Párrafo de lista Car"/>
    <w:link w:val="Prrafodelista"/>
    <w:uiPriority w:val="34"/>
    <w:qFormat/>
    <w:locked/>
    <w:rsid w:val="00222dd7"/>
    <w:rPr>
      <w:rFonts w:ascii="Times New Roman" w:hAnsi="Times New Roman" w:eastAsia="Times New Roman" w:cs="Times New Roman"/>
      <w:sz w:val="24"/>
      <w:szCs w:val="24"/>
      <w:lang w:eastAsia="es-ES"/>
    </w:rPr>
  </w:style>
  <w:style w:type="character" w:styleId="TextodegloboCar" w:customStyle="1">
    <w:name w:val="Texto de globo Car"/>
    <w:basedOn w:val="DefaultParagraphFont"/>
    <w:link w:val="Textodeglobo"/>
    <w:uiPriority w:val="99"/>
    <w:semiHidden/>
    <w:qFormat/>
    <w:rsid w:val="001c5f1a"/>
    <w:rPr>
      <w:rFonts w:ascii="Tahoma" w:hAnsi="Tahoma" w:eastAsia="Times New Roman" w:cs="Tahoma"/>
      <w:sz w:val="16"/>
      <w:szCs w:val="16"/>
      <w:lang w:eastAsia="es-ES"/>
    </w:rPr>
  </w:style>
  <w:style w:type="character" w:styleId="Annotationreference">
    <w:name w:val="annotation reference"/>
    <w:basedOn w:val="DefaultParagraphFont"/>
    <w:uiPriority w:val="99"/>
    <w:semiHidden/>
    <w:unhideWhenUsed/>
    <w:qFormat/>
    <w:rsid w:val="00484d11"/>
    <w:rPr>
      <w:sz w:val="16"/>
      <w:szCs w:val="16"/>
    </w:rPr>
  </w:style>
  <w:style w:type="character" w:styleId="TextocomentarioCar" w:customStyle="1">
    <w:name w:val="Texto comentario Car"/>
    <w:basedOn w:val="DefaultParagraphFont"/>
    <w:link w:val="Textocomentario"/>
    <w:uiPriority w:val="99"/>
    <w:semiHidden/>
    <w:qFormat/>
    <w:rsid w:val="00484d11"/>
    <w:rPr>
      <w:rFonts w:ascii="Times New Roman" w:hAnsi="Times New Roman" w:eastAsia="Times New Roman" w:cs="Times New Roman"/>
      <w:sz w:val="20"/>
      <w:szCs w:val="20"/>
      <w:lang w:eastAsia="es-ES"/>
    </w:rPr>
  </w:style>
  <w:style w:type="character" w:styleId="AsuntodelcomentarioCar" w:customStyle="1">
    <w:name w:val="Asunto del comentario Car"/>
    <w:basedOn w:val="TextocomentarioCar"/>
    <w:link w:val="Asuntodelcomentario"/>
    <w:uiPriority w:val="99"/>
    <w:semiHidden/>
    <w:qFormat/>
    <w:rsid w:val="00484d11"/>
    <w:rPr>
      <w:rFonts w:ascii="Times New Roman" w:hAnsi="Times New Roman" w:eastAsia="Times New Roman" w:cs="Times New Roman"/>
      <w:b/>
      <w:bCs/>
      <w:sz w:val="20"/>
      <w:szCs w:val="20"/>
      <w:lang w:eastAsia="es-ES"/>
    </w:rPr>
  </w:style>
  <w:style w:type="character" w:styleId="ListLabel1">
    <w:name w:val="ListLabel 1"/>
    <w:qFormat/>
    <w:rPr>
      <w:rFonts w:ascii="Arial" w:hAnsi="Arial"/>
      <w:b/>
      <w:sz w:val="20"/>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Indent3">
    <w:name w:val="Body Text Indent 3"/>
    <w:basedOn w:val="Normal"/>
    <w:link w:val="Sangra3detindependienteCar"/>
    <w:qFormat/>
    <w:rsid w:val="00222dd7"/>
    <w:pPr>
      <w:ind w:left="720" w:hanging="0"/>
      <w:jc w:val="both"/>
    </w:pPr>
    <w:rPr>
      <w:rFonts w:ascii="Arial" w:hAnsi="Arial"/>
    </w:rPr>
  </w:style>
  <w:style w:type="paragraph" w:styleId="ListParagraph">
    <w:name w:val="List Paragraph"/>
    <w:basedOn w:val="Normal"/>
    <w:link w:val="PrrafodelistaCar"/>
    <w:uiPriority w:val="34"/>
    <w:qFormat/>
    <w:rsid w:val="00222dd7"/>
    <w:pPr>
      <w:ind w:left="708" w:hanging="0"/>
    </w:pPr>
    <w:rPr/>
  </w:style>
  <w:style w:type="paragraph" w:styleId="BalloonText">
    <w:name w:val="Balloon Text"/>
    <w:basedOn w:val="Normal"/>
    <w:link w:val="TextodegloboCar"/>
    <w:uiPriority w:val="99"/>
    <w:semiHidden/>
    <w:unhideWhenUsed/>
    <w:qFormat/>
    <w:rsid w:val="001c5f1a"/>
    <w:pPr/>
    <w:rPr>
      <w:rFonts w:ascii="Tahoma" w:hAnsi="Tahoma" w:cs="Tahoma"/>
      <w:sz w:val="16"/>
      <w:szCs w:val="16"/>
    </w:rPr>
  </w:style>
  <w:style w:type="paragraph" w:styleId="Annotationtext">
    <w:name w:val="annotation text"/>
    <w:basedOn w:val="Normal"/>
    <w:link w:val="TextocomentarioCar"/>
    <w:uiPriority w:val="99"/>
    <w:semiHidden/>
    <w:unhideWhenUsed/>
    <w:qFormat/>
    <w:rsid w:val="00484d11"/>
    <w:pPr/>
    <w:rPr>
      <w:sz w:val="20"/>
      <w:szCs w:val="20"/>
    </w:rPr>
  </w:style>
  <w:style w:type="paragraph" w:styleId="Annotationsubject">
    <w:name w:val="annotation subject"/>
    <w:basedOn w:val="Annotationtext"/>
    <w:link w:val="AsuntodelcomentarioCar"/>
    <w:uiPriority w:val="99"/>
    <w:semiHidden/>
    <w:unhideWhenUsed/>
    <w:qFormat/>
    <w:rsid w:val="00484d11"/>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Listaclara-nfasis3">
    <w:name w:val="Light List Accent 3"/>
    <w:basedOn w:val="Tablanormal"/>
    <w:uiPriority w:val="61"/>
    <w:rsid w:val="00516987"/>
    <w:pPr>
      <w:spacing w:after="0" w:line="240" w:lineRule="auto"/>
    </w:pPr>
    <w:rPr>
      <w:rFonts w:eastAsiaTheme="minorEastAsia"/>
      <w:lang w:eastAsia="es-E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349</Words>
  <Characters>1979</Characters>
  <CharactersWithSpaces>2305</CharactersWithSpaces>
  <Paragraphs>21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2021-07-16T10:29:00Z</dcterms:created>
  <dc:creator>Angel Luis Moraleda</dc:creator>
  <dc:description/>
  <dc:language>es-ES</dc:language>
  <cp:lastModifiedBy>Alvaro Fernandez de Navarrete Gonzalez-Valerio</cp:lastModifiedBy>
  <dcterms:modified xsi:type="dcterms:W3CDTF">2021-07-16T10:29:00Z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